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sz w:val="24"/>
          <w:szCs w:val="24"/>
        </w:rPr>
      </w:pPr>
      <w:r>
        <w:rPr>
          <w:rFonts w:ascii="Humanist777BT-BlackB" w:hAnsi="Humanist777BT-BlackB" w:cs="Humanist777BT-BlackB"/>
          <w:sz w:val="24"/>
          <w:szCs w:val="24"/>
        </w:rPr>
        <w:t>Goal 7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Bold" w:hAnsi="Cheltenham-Bold" w:cs="Cheltenham-Bold"/>
          <w:b/>
          <w:bCs/>
          <w:sz w:val="24"/>
          <w:szCs w:val="24"/>
        </w:rPr>
      </w:pPr>
      <w:r>
        <w:rPr>
          <w:rFonts w:ascii="Cheltenham-Bold" w:hAnsi="Cheltenham-Bold" w:cs="Cheltenham-Bold"/>
          <w:b/>
          <w:bCs/>
          <w:sz w:val="24"/>
          <w:szCs w:val="24"/>
        </w:rPr>
        <w:t>Reduce the risk of health care–associated infections.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r>
        <w:rPr>
          <w:rFonts w:ascii="Humanist777BT-BoldB" w:hAnsi="Humanist777BT-BoldB" w:cs="Humanist777BT-BoldB"/>
          <w:b/>
          <w:bCs/>
        </w:rPr>
        <w:t>Requirement 7A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r>
        <w:rPr>
          <w:rFonts w:ascii="Cheltenham-Light" w:hAnsi="Cheltenham-Light" w:cs="Cheltenham-Light"/>
          <w:sz w:val="20"/>
          <w:szCs w:val="20"/>
        </w:rPr>
        <w:t>Comply with current World Health Organization (WHO) Hand Hygiene Guidelines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or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Centers for Disease Control and Prevention (CDC) hand hygiene guidelines.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r>
        <w:rPr>
          <w:rFonts w:ascii="Humanist777BT-BoldB" w:hAnsi="Humanist777BT-BoldB" w:cs="Humanist777BT-BoldB"/>
          <w:b/>
          <w:bCs/>
        </w:rPr>
        <w:t>Rationale for Requirement 7A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r>
        <w:rPr>
          <w:rFonts w:ascii="Cheltenham-Light" w:hAnsi="Cheltenham-Light" w:cs="Cheltenham-Light"/>
          <w:sz w:val="20"/>
          <w:szCs w:val="20"/>
        </w:rPr>
        <w:t>Compliance with the WHO Hand Hygiene Guidelines or CDC hand hygiene guidelines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will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reduce the transmission of infectious agents by staff to patients, thereby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decreasing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the incidence of health care–associated infections.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r>
        <w:rPr>
          <w:rFonts w:ascii="Humanist777BT-BoldB" w:hAnsi="Humanist777BT-BoldB" w:cs="Humanist777BT-BoldB"/>
          <w:b/>
          <w:bCs/>
        </w:rPr>
        <w:t>Implementation Expectation for Requirement 7A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Humanist777BT-ExtraBlackCondB" w:hAnsi="Humanist777BT-ExtraBlackCondB" w:cs="Humanist777BT-ExtraBlackCondB"/>
          <w:sz w:val="20"/>
          <w:szCs w:val="20"/>
        </w:rPr>
        <w:t xml:space="preserve">C </w:t>
      </w:r>
      <w:r>
        <w:rPr>
          <w:rFonts w:ascii="BundesbahnPi-One" w:hAnsi="BundesbahnPi-One" w:cs="BundesbahnPi-One"/>
        </w:rPr>
        <w:t xml:space="preserve">_ </w:t>
      </w:r>
      <w:r>
        <w:rPr>
          <w:rFonts w:ascii="Cheltenham-Light" w:hAnsi="Cheltenham-Light" w:cs="Cheltenham-Light"/>
          <w:sz w:val="20"/>
          <w:szCs w:val="20"/>
        </w:rPr>
        <w:t>1.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Comply with current WHO Hand Hygiene Guidelines or Centers for Disease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Control and Prevention (CDC) hand hygiene guidelines.*</w:t>
      </w:r>
      <w:proofErr w:type="gramEnd"/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r>
        <w:rPr>
          <w:rFonts w:ascii="Humanist777BT-BoldB" w:hAnsi="Humanist777BT-BoldB" w:cs="Humanist777BT-BoldB"/>
          <w:b/>
          <w:bCs/>
        </w:rPr>
        <w:t>Requirement 7B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r>
        <w:rPr>
          <w:rFonts w:ascii="Cheltenham-Light" w:hAnsi="Cheltenham-Light" w:cs="Cheltenham-Light"/>
          <w:sz w:val="20"/>
          <w:szCs w:val="20"/>
        </w:rPr>
        <w:t>Manage as sentinel events all identified cases of unanticipated death or major permanent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loss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of function associated with a health care–associated infection.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r>
        <w:rPr>
          <w:rFonts w:ascii="Humanist777BT-BoldB" w:hAnsi="Humanist777BT-BoldB" w:cs="Humanist777BT-BoldB"/>
          <w:b/>
          <w:bCs/>
        </w:rPr>
        <w:t>Rationale for Requirement 7B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r>
        <w:rPr>
          <w:rFonts w:ascii="Cheltenham-Light" w:hAnsi="Cheltenham-Light" w:cs="Cheltenham-Light"/>
          <w:sz w:val="20"/>
          <w:szCs w:val="20"/>
        </w:rPr>
        <w:t>A significant percentage of patients who unexpectedly die or suffer major permanent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loss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of function have health care–associated infections. These unanticipated deaths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and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injuries meet the definition of a sentinel event and, therefore, are required to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undergo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a root cause analysis. The root cause analysis should attempt to answer the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questions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(1) Why did the patient acquire an infection and, (2) Given the fact of the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infection</w:t>
      </w:r>
      <w:proofErr w:type="gramEnd"/>
      <w:r>
        <w:rPr>
          <w:rFonts w:ascii="Cheltenham-Light" w:hAnsi="Cheltenham-Light" w:cs="Cheltenham-Light"/>
          <w:sz w:val="20"/>
          <w:szCs w:val="20"/>
        </w:rPr>
        <w:t>, why did the patient die or suffer permanent loss of function?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r>
        <w:rPr>
          <w:rFonts w:ascii="Humanist777BT-BoldB" w:hAnsi="Humanist777BT-BoldB" w:cs="Humanist777BT-BoldB"/>
          <w:b/>
          <w:bCs/>
        </w:rPr>
        <w:t>Implementation Expectations for Requirement 7B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Humanist777BT-ExtraBlackCondB" w:hAnsi="Humanist777BT-ExtraBlackCondB" w:cs="Humanist777BT-ExtraBlackCondB"/>
          <w:sz w:val="20"/>
          <w:szCs w:val="20"/>
        </w:rPr>
        <w:t xml:space="preserve">C </w:t>
      </w:r>
      <w:r>
        <w:rPr>
          <w:rFonts w:ascii="BundesbahnPi-One" w:hAnsi="BundesbahnPi-One" w:cs="BundesbahnPi-One"/>
        </w:rPr>
        <w:t xml:space="preserve">_ </w:t>
      </w:r>
      <w:r>
        <w:rPr>
          <w:rFonts w:ascii="Cheltenham-Light" w:hAnsi="Cheltenham-Light" w:cs="Cheltenham-Light"/>
          <w:sz w:val="20"/>
          <w:szCs w:val="20"/>
        </w:rPr>
        <w:t>1.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The organization manages all identified cases of unanticipated death or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major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permanent loss of function associated with a health care–associated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Cheltenham-Light" w:hAnsi="Cheltenham-Light" w:cs="Cheltenham-Light"/>
          <w:sz w:val="20"/>
          <w:szCs w:val="20"/>
        </w:rPr>
        <w:t>infection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as sentinel events (that is, conducts a root cause analysis).</w:t>
      </w:r>
    </w:p>
    <w:p w:rsidR="00A75A0F" w:rsidRDefault="00A75A0F" w:rsidP="00A75A0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sz w:val="20"/>
          <w:szCs w:val="20"/>
        </w:rPr>
      </w:pPr>
      <w:proofErr w:type="gramStart"/>
      <w:r>
        <w:rPr>
          <w:rFonts w:ascii="Humanist777BT-ExtraBlackCondB" w:hAnsi="Humanist777BT-ExtraBlackCondB" w:cs="Humanist777BT-ExtraBlackCondB"/>
          <w:sz w:val="20"/>
          <w:szCs w:val="20"/>
        </w:rPr>
        <w:t xml:space="preserve">A </w:t>
      </w:r>
      <w:r>
        <w:rPr>
          <w:rFonts w:ascii="Cheltenham-Light" w:hAnsi="Cheltenham-Light" w:cs="Cheltenham-Light"/>
          <w:sz w:val="20"/>
          <w:szCs w:val="20"/>
        </w:rPr>
        <w:t>2.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The root cause analysis addresses the management of the patient</w:t>
      </w:r>
    </w:p>
    <w:p w:rsidR="00540781" w:rsidRDefault="00A75A0F" w:rsidP="00A75A0F">
      <w:proofErr w:type="gramStart"/>
      <w:r>
        <w:rPr>
          <w:rFonts w:ascii="Cheltenham-Light" w:hAnsi="Cheltenham-Light" w:cs="Cheltenham-Light"/>
          <w:sz w:val="20"/>
          <w:szCs w:val="20"/>
        </w:rPr>
        <w:t>before</w:t>
      </w:r>
      <w:proofErr w:type="gramEnd"/>
      <w:r>
        <w:rPr>
          <w:rFonts w:ascii="Cheltenham-Light" w:hAnsi="Cheltenham-Light" w:cs="Cheltenham-Light"/>
          <w:sz w:val="20"/>
          <w:szCs w:val="20"/>
        </w:rPr>
        <w:t xml:space="preserve"> and after the identification of infection.</w:t>
      </w:r>
    </w:p>
    <w:sectPr w:rsidR="00540781" w:rsidSect="0054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umanist777BT-Black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ExtraBlackCon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bah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5A0F"/>
    <w:rsid w:val="00540781"/>
    <w:rsid w:val="00A7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2008-05-23T12:30:00Z</dcterms:created>
  <dcterms:modified xsi:type="dcterms:W3CDTF">2008-05-23T12:31:00Z</dcterms:modified>
</cp:coreProperties>
</file>